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D771" w14:textId="4A58765D" w:rsidR="00736CF7" w:rsidRDefault="002A3554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1</w:t>
      </w:r>
      <w:r w:rsidR="00874116">
        <w:rPr>
          <w:rFonts w:ascii="Calibri" w:hAnsi="Calibri"/>
          <w:b/>
          <w:bCs/>
          <w:sz w:val="28"/>
          <w:szCs w:val="28"/>
        </w:rPr>
        <w:t xml:space="preserve"> / OVS / 202</w:t>
      </w:r>
      <w:r>
        <w:rPr>
          <w:rFonts w:ascii="Calibri" w:hAnsi="Calibri"/>
          <w:b/>
          <w:bCs/>
          <w:sz w:val="28"/>
          <w:szCs w:val="28"/>
        </w:rPr>
        <w:t>4</w:t>
      </w:r>
    </w:p>
    <w:p w14:paraId="4C8AD368" w14:textId="77777777"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EBAE16" wp14:editId="60822894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14:paraId="04DD0FF5" w14:textId="77777777" w:rsidR="00736CF7" w:rsidRPr="005315AC" w:rsidRDefault="00A43314">
      <w:pPr>
        <w:jc w:val="center"/>
        <w:rPr>
          <w:rFonts w:ascii="Calibri" w:hAnsi="Calibri"/>
          <w:sz w:val="20"/>
          <w:szCs w:val="20"/>
        </w:rPr>
      </w:pPr>
      <w:r w:rsidRPr="005315AC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14:paraId="2FB9CEF2" w14:textId="77777777" w:rsidR="00736CF7" w:rsidRDefault="00A43314" w:rsidP="005315AC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14:paraId="0644E273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14:paraId="1BB002A9" w14:textId="2DC4F9F6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</w:t>
      </w:r>
      <w:r w:rsidR="002A3554">
        <w:rPr>
          <w:rFonts w:ascii="Calibri" w:hAnsi="Calibri"/>
        </w:rPr>
        <w:t xml:space="preserve"> Michal Marhefka, MBA</w:t>
      </w:r>
      <w:r>
        <w:rPr>
          <w:rFonts w:ascii="Calibri" w:hAnsi="Calibri"/>
        </w:rPr>
        <w:t xml:space="preserve"> – primátor mesta</w:t>
      </w:r>
    </w:p>
    <w:p w14:paraId="4A62DFAA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14:paraId="4E2B6788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14:paraId="722FA006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14:paraId="281AFB4B" w14:textId="77777777"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14:paraId="2E27427D" w14:textId="77777777"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14:paraId="332E91DF" w14:textId="77777777" w:rsidR="00736CF7" w:rsidRDefault="00A43314" w:rsidP="005315AC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14:paraId="1C9EF766" w14:textId="77777777" w:rsidR="00736CF7" w:rsidRPr="005315AC" w:rsidRDefault="00A43314" w:rsidP="005315AC">
      <w:pPr>
        <w:spacing w:before="240" w:after="240"/>
        <w:jc w:val="center"/>
        <w:rPr>
          <w:rFonts w:ascii="Calibri" w:hAnsi="Calibri"/>
          <w:b/>
          <w:bCs/>
        </w:rPr>
      </w:pPr>
      <w:r w:rsidRPr="005315AC">
        <w:rPr>
          <w:rFonts w:ascii="Calibri" w:hAnsi="Calibri"/>
          <w:b/>
          <w:bCs/>
        </w:rPr>
        <w:t>a</w:t>
      </w:r>
    </w:p>
    <w:p w14:paraId="1985C04D" w14:textId="77777777"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14:paraId="3B2EFEF3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14:paraId="14F773DE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424B8FA" w14:textId="77777777"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14:paraId="3FD94AE7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0E1B51F8" w14:textId="77777777"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49244699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14:paraId="0FB53B92" w14:textId="77777777"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14:paraId="36BAF74D" w14:textId="77777777"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3DAE25B5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5CE95756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EC85C20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67832851" w14:textId="77777777" w:rsidR="00736CF7" w:rsidRPr="00F95ED2" w:rsidRDefault="00A43314" w:rsidP="005315AC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14:paraId="2DAE8C76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14:paraId="1C4F46F6" w14:textId="77777777"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14:paraId="286218C5" w14:textId="0F7B3096" w:rsidR="0062311E" w:rsidRPr="0062311E" w:rsidRDefault="00A43314" w:rsidP="005315AC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62311E">
        <w:rPr>
          <w:rFonts w:asciiTheme="minorHAnsi" w:hAnsiTheme="minorHAnsi" w:cstheme="minorHAnsi"/>
        </w:rPr>
        <w:t xml:space="preserve">pozemkov v k.ú. </w:t>
      </w:r>
      <w:r w:rsidR="002A3554">
        <w:rPr>
          <w:rFonts w:asciiTheme="minorHAnsi" w:hAnsiTheme="minorHAnsi" w:cstheme="minorHAnsi"/>
        </w:rPr>
        <w:t xml:space="preserve">Pilhov, obec </w:t>
      </w:r>
      <w:r w:rsidR="0062311E" w:rsidRPr="0062311E">
        <w:rPr>
          <w:rFonts w:asciiTheme="minorHAnsi" w:hAnsiTheme="minorHAnsi" w:cstheme="minorHAnsi"/>
        </w:rPr>
        <w:t>Mníšek nad Popradom:</w:t>
      </w:r>
    </w:p>
    <w:p w14:paraId="565D0965" w14:textId="2DB3C230" w:rsidR="0062311E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 xml:space="preserve">KN-E </w:t>
      </w:r>
      <w:r w:rsidR="002A3554">
        <w:rPr>
          <w:rFonts w:asciiTheme="minorHAnsi" w:hAnsiTheme="minorHAnsi" w:cstheme="minorHAnsi"/>
        </w:rPr>
        <w:t>848/5</w:t>
      </w:r>
      <w:r w:rsidRPr="0062311E">
        <w:rPr>
          <w:rFonts w:asciiTheme="minorHAnsi" w:hAnsiTheme="minorHAnsi" w:cstheme="minorHAnsi"/>
        </w:rPr>
        <w:t xml:space="preserve">, druh pozemku: </w:t>
      </w:r>
      <w:r w:rsidR="002A3554">
        <w:rPr>
          <w:rFonts w:asciiTheme="minorHAnsi" w:hAnsiTheme="minorHAnsi" w:cstheme="minorHAnsi"/>
        </w:rPr>
        <w:t>trvalý trávny porast</w:t>
      </w:r>
      <w:r w:rsidRPr="0062311E">
        <w:rPr>
          <w:rFonts w:asciiTheme="minorHAnsi" w:hAnsiTheme="minorHAnsi" w:cstheme="minorHAnsi"/>
        </w:rPr>
        <w:t xml:space="preserve">, výmera pozemku: </w:t>
      </w:r>
      <w:r w:rsidR="002A3554">
        <w:rPr>
          <w:rFonts w:asciiTheme="minorHAnsi" w:hAnsiTheme="minorHAnsi" w:cstheme="minorHAnsi"/>
        </w:rPr>
        <w:t>1 912</w:t>
      </w:r>
      <w:r w:rsidRPr="0062311E">
        <w:rPr>
          <w:rFonts w:asciiTheme="minorHAnsi" w:hAnsiTheme="minorHAnsi" w:cstheme="minorHAnsi"/>
        </w:rPr>
        <w:t xml:space="preserve">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="002A3554">
        <w:rPr>
          <w:rFonts w:asciiTheme="minorHAnsi" w:hAnsiTheme="minorHAnsi" w:cstheme="minorHAnsi"/>
        </w:rPr>
        <w:t>.</w:t>
      </w:r>
    </w:p>
    <w:p w14:paraId="02415AB8" w14:textId="77777777" w:rsidR="00736CF7" w:rsidRPr="00C71394" w:rsidRDefault="00A43314" w:rsidP="002A3554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14:paraId="2041F09B" w14:textId="77777777"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14:paraId="1CB820C9" w14:textId="77777777" w:rsidR="0062311E" w:rsidRPr="0062311E" w:rsidRDefault="00A4331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</w:t>
      </w:r>
      <w:r w:rsidRPr="0062311E">
        <w:rPr>
          <w:rFonts w:asciiTheme="minorHAnsi" w:hAnsiTheme="minorHAnsi" w:cstheme="minorHAnsi"/>
        </w:rPr>
        <w:t>kupuje</w:t>
      </w:r>
      <w:r w:rsidR="0062311E" w:rsidRPr="0062311E">
        <w:rPr>
          <w:rFonts w:asciiTheme="minorHAnsi" w:hAnsiTheme="minorHAnsi" w:cstheme="minorHAnsi"/>
        </w:rPr>
        <w:t xml:space="preserve"> nasledovné</w:t>
      </w:r>
      <w:r w:rsidRPr="0062311E">
        <w:rPr>
          <w:rFonts w:asciiTheme="minorHAnsi" w:hAnsiTheme="minorHAnsi" w:cstheme="minorHAnsi"/>
        </w:rPr>
        <w:t xml:space="preserve"> pozemk</w:t>
      </w:r>
      <w:r w:rsidR="0062311E" w:rsidRPr="0062311E">
        <w:rPr>
          <w:rFonts w:asciiTheme="minorHAnsi" w:hAnsiTheme="minorHAnsi" w:cstheme="minorHAnsi"/>
        </w:rPr>
        <w:t>y:</w:t>
      </w:r>
      <w:r w:rsidRPr="0062311E">
        <w:rPr>
          <w:rFonts w:asciiTheme="minorHAnsi" w:hAnsiTheme="minorHAnsi" w:cstheme="minorHAnsi"/>
        </w:rPr>
        <w:t xml:space="preserve"> </w:t>
      </w:r>
    </w:p>
    <w:p w14:paraId="5ECE8B85" w14:textId="0CED0E18" w:rsidR="0062311E" w:rsidRPr="0062311E" w:rsidRDefault="0062311E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 xml:space="preserve">KN-E </w:t>
      </w:r>
      <w:r w:rsidR="002A3554">
        <w:rPr>
          <w:rFonts w:asciiTheme="minorHAnsi" w:hAnsiTheme="minorHAnsi" w:cstheme="minorHAnsi"/>
        </w:rPr>
        <w:t>848/5</w:t>
      </w:r>
      <w:r w:rsidRPr="0062311E">
        <w:rPr>
          <w:rFonts w:asciiTheme="minorHAnsi" w:hAnsiTheme="minorHAnsi" w:cstheme="minorHAnsi"/>
        </w:rPr>
        <w:t xml:space="preserve">, druh pozemku: </w:t>
      </w:r>
      <w:r w:rsidR="002A3554">
        <w:rPr>
          <w:rFonts w:asciiTheme="minorHAnsi" w:hAnsiTheme="minorHAnsi" w:cstheme="minorHAnsi"/>
        </w:rPr>
        <w:t>trvalý trávny porast</w:t>
      </w:r>
      <w:r w:rsidRPr="0062311E">
        <w:rPr>
          <w:rFonts w:asciiTheme="minorHAnsi" w:hAnsiTheme="minorHAnsi" w:cstheme="minorHAnsi"/>
        </w:rPr>
        <w:t xml:space="preserve">, výmera pozemku: </w:t>
      </w:r>
      <w:r w:rsidR="002A3554">
        <w:rPr>
          <w:rFonts w:asciiTheme="minorHAnsi" w:hAnsiTheme="minorHAnsi" w:cstheme="minorHAnsi"/>
        </w:rPr>
        <w:t>1 912</w:t>
      </w:r>
      <w:r w:rsidRPr="0062311E">
        <w:rPr>
          <w:rFonts w:asciiTheme="minorHAnsi" w:hAnsiTheme="minorHAnsi" w:cstheme="minorHAnsi"/>
        </w:rPr>
        <w:t xml:space="preserve"> 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Pr="0062311E">
        <w:rPr>
          <w:rFonts w:asciiTheme="minorHAnsi" w:hAnsiTheme="minorHAnsi" w:cstheme="minorHAnsi"/>
        </w:rPr>
        <w:t>,</w:t>
      </w:r>
    </w:p>
    <w:p w14:paraId="19E653CF" w14:textId="56B85464" w:rsidR="00736CF7" w:rsidRPr="0062311E" w:rsidRDefault="00C7139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2A3554">
        <w:rPr>
          <w:rFonts w:asciiTheme="minorHAnsi" w:hAnsiTheme="minorHAnsi" w:cstheme="minorHAnsi"/>
        </w:rPr>
        <w:t>827</w:t>
      </w:r>
      <w:r w:rsidRPr="0062311E">
        <w:rPr>
          <w:rFonts w:asciiTheme="minorHAnsi" w:hAnsiTheme="minorHAnsi" w:cstheme="minorHAnsi"/>
        </w:rPr>
        <w:t xml:space="preserve"> pre k.ú. </w:t>
      </w:r>
      <w:r w:rsidR="002A3554">
        <w:rPr>
          <w:rFonts w:asciiTheme="minorHAnsi" w:hAnsiTheme="minorHAnsi" w:cstheme="minorHAnsi"/>
        </w:rPr>
        <w:t>Pilhov</w:t>
      </w:r>
      <w:r w:rsidRPr="0062311E">
        <w:rPr>
          <w:rFonts w:asciiTheme="minorHAnsi" w:hAnsiTheme="minorHAnsi" w:cstheme="minorHAnsi"/>
        </w:rPr>
        <w:t xml:space="preserve">, obec: Mníšek nad Popradom.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14:paraId="3429DEC7" w14:textId="77777777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III.</w:t>
      </w:r>
    </w:p>
    <w:p w14:paraId="45544312" w14:textId="77777777"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14:paraId="4C9DEE04" w14:textId="1175DD4D" w:rsidR="00736CF7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2A3554">
        <w:rPr>
          <w:rFonts w:ascii="Calibri" w:hAnsi="Calibri" w:cs="Times New Roman"/>
        </w:rPr>
        <w:t>1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</w:t>
      </w:r>
      <w:r>
        <w:rPr>
          <w:rFonts w:ascii="Calibri" w:hAnsi="Calibri" w:cs="Times New Roman"/>
        </w:rPr>
        <w:lastRenderedPageBreak/>
        <w:t xml:space="preserve">výške </w:t>
      </w:r>
      <w:r w:rsidR="00C71394">
        <w:rPr>
          <w:rFonts w:ascii="Calibri" w:hAnsi="Calibri" w:cs="Times New Roman"/>
        </w:rPr>
        <w:t>.........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>, t.j. ..................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14:paraId="61C0FF8B" w14:textId="77777777" w:rsidR="00736CF7" w:rsidRPr="00607BBF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Okrem kúpnej ceny uvedenej v odseku 1 sa kupujúci zaväzuje uhradiť správny poplatok spojený s návrhom na vklad do katastra nehnuteľností vo výške 66 €.</w:t>
      </w:r>
    </w:p>
    <w:p w14:paraId="44186D82" w14:textId="77777777" w:rsidR="00736CF7" w:rsidRPr="00C76EFD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14:paraId="782DF149" w14:textId="77777777" w:rsidR="00C71394" w:rsidRDefault="00C7139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/>
        </w:rPr>
      </w:pPr>
      <w:r w:rsidRPr="00C76EFD">
        <w:rPr>
          <w:rFonts w:ascii="Calibri" w:hAnsi="Calibri" w:cs="Times New Roman"/>
        </w:rPr>
        <w:t>Do kúpnej ceny sa započítava zábezpeka, ktorú kupujúci zložil na účet predávajúceho v priebehu obchodnej verejnej súťaže.</w:t>
      </w:r>
    </w:p>
    <w:p w14:paraId="158E6E4A" w14:textId="77777777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14:paraId="1429CE99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14:paraId="22E7828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14:paraId="2687185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14:paraId="27BD63ED" w14:textId="77777777" w:rsidR="00736CF7" w:rsidRDefault="00A43314" w:rsidP="005315AC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14:paraId="27AF35EB" w14:textId="77777777"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14:paraId="07B44267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14:paraId="29642E94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14:paraId="035BB059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14:paraId="6F88EBDE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14:paraId="72CDA3EC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14:paraId="561693BD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14:paraId="3B2E8F01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14:paraId="0430EE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14:paraId="644B0A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14:paraId="2DEF50F0" w14:textId="77777777" w:rsidR="005315AC" w:rsidRDefault="005315AC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14:paraId="5100C00F" w14:textId="77777777" w:rsidR="00736CF7" w:rsidRDefault="00A43314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VI.</w:t>
      </w:r>
    </w:p>
    <w:p w14:paraId="24D4D41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Odstúpenie od zmluvy</w:t>
      </w:r>
    </w:p>
    <w:p w14:paraId="13DA667B" w14:textId="77777777" w:rsidR="00736CF7" w:rsidRDefault="00A43314" w:rsidP="005315AC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lastRenderedPageBreak/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14:paraId="3C9A3F85" w14:textId="77777777" w:rsidR="00C76EFD" w:rsidRDefault="00C76EFD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14:paraId="0483AC0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14:paraId="4A6C6DA7" w14:textId="1CE0DAB2" w:rsidR="00736CF7" w:rsidRPr="002A1983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>podmienky obchodnej verejnej súťaže č. 1/202</w:t>
      </w:r>
      <w:r w:rsidR="002A3554">
        <w:rPr>
          <w:rFonts w:ascii="Calibri" w:hAnsi="Calibri" w:cs="Times New Roman"/>
        </w:rPr>
        <w:t>4</w:t>
      </w:r>
      <w:r w:rsidR="00C71394">
        <w:rPr>
          <w:rFonts w:ascii="Calibri" w:hAnsi="Calibri" w:cs="Times New Roman"/>
        </w:rPr>
        <w:t xml:space="preserve">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>) zákona č. 138/1991 zb. o majetku ob</w:t>
      </w:r>
      <w:r w:rsidRPr="002A1983">
        <w:rPr>
          <w:rFonts w:ascii="Calibri" w:hAnsi="Calibri" w:cs="Times New Roman"/>
        </w:rPr>
        <w:t xml:space="preserve">cí v znení neskorších predpisov na svojom zasadnutí dňa </w:t>
      </w:r>
      <w:r w:rsidR="002A3554">
        <w:rPr>
          <w:rFonts w:ascii="Calibri" w:hAnsi="Calibri" w:cs="Times New Roman"/>
        </w:rPr>
        <w:t>08.02.20224</w:t>
      </w:r>
      <w:r w:rsidRPr="002A1983">
        <w:rPr>
          <w:rFonts w:ascii="Calibri" w:hAnsi="Calibri" w:cs="Times New Roman"/>
        </w:rPr>
        <w:t xml:space="preserve"> uznesením č. </w:t>
      </w:r>
      <w:r w:rsidR="002A3554">
        <w:rPr>
          <w:rFonts w:ascii="Calibri" w:hAnsi="Calibri" w:cs="Times New Roman"/>
        </w:rPr>
        <w:t>____</w:t>
      </w:r>
      <w:r w:rsidRPr="002A1983">
        <w:rPr>
          <w:rFonts w:ascii="Calibri" w:hAnsi="Calibri" w:cs="Times New Roman"/>
        </w:rPr>
        <w:t>/20</w:t>
      </w:r>
      <w:r w:rsidR="00F95ED2" w:rsidRPr="002A1983">
        <w:rPr>
          <w:rFonts w:ascii="Calibri" w:hAnsi="Calibri" w:cs="Times New Roman"/>
        </w:rPr>
        <w:t>2</w:t>
      </w:r>
      <w:r w:rsidR="002A3554">
        <w:rPr>
          <w:rFonts w:ascii="Calibri" w:hAnsi="Calibri" w:cs="Times New Roman"/>
        </w:rPr>
        <w:t>4</w:t>
      </w:r>
      <w:r w:rsidRPr="002A1983">
        <w:rPr>
          <w:rFonts w:ascii="Calibri" w:hAnsi="Calibri" w:cs="Times New Roman"/>
        </w:rPr>
        <w:t>.</w:t>
      </w:r>
    </w:p>
    <w:p w14:paraId="3CB76DF8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 w:rsidRPr="002A1983">
        <w:rPr>
          <w:rFonts w:ascii="Calibri" w:hAnsi="Calibri"/>
        </w:rPr>
        <w:t>Zmluva nadobúda platnosť dňom podpisu zmluvnými stranami. Predávajúci je povinný</w:t>
      </w:r>
      <w:r>
        <w:rPr>
          <w:rFonts w:ascii="Calibri" w:hAnsi="Calibri"/>
        </w:rPr>
        <w:t xml:space="preserve">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14:paraId="640295D0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14:paraId="523A3AC8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14:paraId="1EEDEBEA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14:paraId="28804102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14:paraId="5B4AAAC3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14:paraId="5A85EE27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F0E3CE9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4043A251" w14:textId="03060F56" w:rsidR="00710901" w:rsidRDefault="00710901" w:rsidP="00710901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>V ................................., dňa ...............202</w:t>
      </w:r>
      <w:r w:rsidR="002A3554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</w:p>
    <w:p w14:paraId="7DB6D7F0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A86FC35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7867E5B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DAA419F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7A4656C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28D3D952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244E6A5" w14:textId="57B756BE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Mgr. </w:t>
      </w:r>
      <w:r w:rsidR="002A3554">
        <w:rPr>
          <w:rFonts w:ascii="Calibri" w:hAnsi="Calibri"/>
        </w:rPr>
        <w:t>Michal Marhefka, MBA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14:paraId="08512934" w14:textId="77777777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14:paraId="2CA65A87" w14:textId="77777777"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69A3" w14:textId="77777777" w:rsidR="00E431D4" w:rsidRDefault="00E431D4">
      <w:r>
        <w:separator/>
      </w:r>
    </w:p>
  </w:endnote>
  <w:endnote w:type="continuationSeparator" w:id="0">
    <w:p w14:paraId="161E28C6" w14:textId="77777777" w:rsidR="00E431D4" w:rsidRDefault="00E4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846014"/>
      <w:docPartObj>
        <w:docPartGallery w:val="Page Numbers (Bottom of Page)"/>
        <w:docPartUnique/>
      </w:docPartObj>
    </w:sdtPr>
    <w:sdtContent>
      <w:p w14:paraId="0D3A6113" w14:textId="77777777"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14:paraId="13AABB98" w14:textId="77777777"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8CE" w14:textId="77777777" w:rsidR="00E431D4" w:rsidRDefault="00E431D4">
      <w:r>
        <w:separator/>
      </w:r>
    </w:p>
  </w:footnote>
  <w:footnote w:type="continuationSeparator" w:id="0">
    <w:p w14:paraId="00F4E2A0" w14:textId="77777777" w:rsidR="00E431D4" w:rsidRDefault="00E4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A3F"/>
    <w:multiLevelType w:val="hybridMultilevel"/>
    <w:tmpl w:val="4790C66C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A5AA4D4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C57"/>
    <w:multiLevelType w:val="hybridMultilevel"/>
    <w:tmpl w:val="CE34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A45"/>
    <w:multiLevelType w:val="hybridMultilevel"/>
    <w:tmpl w:val="67B87D6A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500B35"/>
    <w:multiLevelType w:val="hybridMultilevel"/>
    <w:tmpl w:val="E74A9DB2"/>
    <w:lvl w:ilvl="0" w:tplc="20B2B9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DAF"/>
    <w:multiLevelType w:val="hybridMultilevel"/>
    <w:tmpl w:val="E10C1B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46FA4"/>
    <w:multiLevelType w:val="hybridMultilevel"/>
    <w:tmpl w:val="82489532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14F"/>
    <w:multiLevelType w:val="hybridMultilevel"/>
    <w:tmpl w:val="F7FE5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4B77"/>
    <w:multiLevelType w:val="hybridMultilevel"/>
    <w:tmpl w:val="C234D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3292"/>
    <w:multiLevelType w:val="hybridMultilevel"/>
    <w:tmpl w:val="B1CA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F01"/>
    <w:multiLevelType w:val="hybridMultilevel"/>
    <w:tmpl w:val="62442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C4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37D"/>
    <w:multiLevelType w:val="hybridMultilevel"/>
    <w:tmpl w:val="AB72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4EBF"/>
    <w:multiLevelType w:val="hybridMultilevel"/>
    <w:tmpl w:val="6D62C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8040">
    <w:abstractNumId w:val="1"/>
  </w:num>
  <w:num w:numId="2" w16cid:durableId="56783381">
    <w:abstractNumId w:val="2"/>
  </w:num>
  <w:num w:numId="3" w16cid:durableId="1202749332">
    <w:abstractNumId w:val="5"/>
  </w:num>
  <w:num w:numId="4" w16cid:durableId="1025180036">
    <w:abstractNumId w:val="8"/>
  </w:num>
  <w:num w:numId="5" w16cid:durableId="782068234">
    <w:abstractNumId w:val="3"/>
  </w:num>
  <w:num w:numId="6" w16cid:durableId="87194328">
    <w:abstractNumId w:val="11"/>
  </w:num>
  <w:num w:numId="7" w16cid:durableId="1727025039">
    <w:abstractNumId w:val="6"/>
  </w:num>
  <w:num w:numId="8" w16cid:durableId="1549342931">
    <w:abstractNumId w:val="7"/>
  </w:num>
  <w:num w:numId="9" w16cid:durableId="1769472076">
    <w:abstractNumId w:val="9"/>
  </w:num>
  <w:num w:numId="10" w16cid:durableId="1353188906">
    <w:abstractNumId w:val="0"/>
  </w:num>
  <w:num w:numId="11" w16cid:durableId="671836934">
    <w:abstractNumId w:val="10"/>
  </w:num>
  <w:num w:numId="12" w16cid:durableId="116798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B55B7"/>
    <w:rsid w:val="000F3B77"/>
    <w:rsid w:val="0020430F"/>
    <w:rsid w:val="00247315"/>
    <w:rsid w:val="00281C1C"/>
    <w:rsid w:val="002A1983"/>
    <w:rsid w:val="002A3554"/>
    <w:rsid w:val="00301854"/>
    <w:rsid w:val="0043028D"/>
    <w:rsid w:val="00521F41"/>
    <w:rsid w:val="005315AC"/>
    <w:rsid w:val="00592E61"/>
    <w:rsid w:val="00607BBF"/>
    <w:rsid w:val="0062311E"/>
    <w:rsid w:val="00710901"/>
    <w:rsid w:val="00736CF7"/>
    <w:rsid w:val="00825F43"/>
    <w:rsid w:val="00874116"/>
    <w:rsid w:val="008E6CCC"/>
    <w:rsid w:val="00996101"/>
    <w:rsid w:val="00A43314"/>
    <w:rsid w:val="00A84F94"/>
    <w:rsid w:val="00BB1C82"/>
    <w:rsid w:val="00BC0976"/>
    <w:rsid w:val="00BE4490"/>
    <w:rsid w:val="00C71394"/>
    <w:rsid w:val="00C76EFD"/>
    <w:rsid w:val="00CE2046"/>
    <w:rsid w:val="00E06347"/>
    <w:rsid w:val="00E431D4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FF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Primátor mesta Podolínec</cp:lastModifiedBy>
  <cp:revision>13</cp:revision>
  <cp:lastPrinted>2019-09-24T05:06:00Z</cp:lastPrinted>
  <dcterms:created xsi:type="dcterms:W3CDTF">2020-04-30T11:55:00Z</dcterms:created>
  <dcterms:modified xsi:type="dcterms:W3CDTF">2024-01-31T09:38:00Z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