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11C" w:rsidRDefault="009D311C"/>
    <w:p w:rsidR="009D311C" w:rsidRDefault="009D311C"/>
    <w:p w:rsidR="009D311C" w:rsidRDefault="009D311C"/>
    <w:p w:rsidR="009D311C" w:rsidRDefault="009D311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Názov materiálu</w:t>
            </w:r>
          </w:p>
        </w:tc>
        <w:tc>
          <w:tcPr>
            <w:tcW w:w="4530" w:type="dxa"/>
          </w:tcPr>
          <w:p w:rsidR="00261686" w:rsidRDefault="001171AB" w:rsidP="001A6AAD">
            <w:r>
              <w:t>Oznámenie o protestoch prokurátora Okresnej prokuratúry Stará Ľubovňa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F223FC" w:rsidP="001A6AAD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30" w:type="dxa"/>
          </w:tcPr>
          <w:p w:rsidR="00261686" w:rsidRDefault="001171AB" w:rsidP="00825354">
            <w:pPr>
              <w:widowControl/>
              <w:autoSpaceDE w:val="0"/>
              <w:autoSpaceDN w:val="0"/>
              <w:adjustRightInd w:val="0"/>
            </w:pPr>
            <w:r>
              <w:t>Prokurátor Okresnej prokuratúry navrhol zrušiť Rozhodnutia Mesta Podolínec vo veciach priestupkov podľa § 37 zákona č. 596/2003 Z. z. (školský zákon)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Návrh na uznesenie</w:t>
            </w:r>
          </w:p>
        </w:tc>
        <w:tc>
          <w:tcPr>
            <w:tcW w:w="4530" w:type="dxa"/>
          </w:tcPr>
          <w:p w:rsidR="00261686" w:rsidRDefault="00261686" w:rsidP="001A6AAD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Uznesenie č. </w:t>
            </w:r>
            <w:r w:rsidR="007545B8">
              <w:rPr>
                <w:b/>
                <w:bCs/>
              </w:rPr>
              <w:t>.....</w:t>
            </w:r>
            <w:r>
              <w:rPr>
                <w:b/>
                <w:bCs/>
              </w:rPr>
              <w:t>/2019</w:t>
            </w:r>
          </w:p>
          <w:p w:rsidR="0080225D" w:rsidRDefault="007147BF" w:rsidP="0080225D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>Mestské zastupiteľstvo v</w:t>
            </w:r>
            <w:r w:rsidR="008C4BEB">
              <w:t> </w:t>
            </w:r>
            <w:r>
              <w:t>Podolínci</w:t>
            </w:r>
            <w:r w:rsidR="008C4BEB">
              <w:t xml:space="preserve"> berie na vedomie</w:t>
            </w:r>
            <w:r w:rsidR="0080225D">
              <w:t xml:space="preserve"> doručené</w:t>
            </w:r>
            <w:r w:rsidR="008C4BEB">
              <w:t xml:space="preserve"> </w:t>
            </w:r>
            <w:r w:rsidR="0080225D">
              <w:t>protesty prokurátora Okresnej prokuratúry Stará Ľubovňa.</w:t>
            </w:r>
            <w:bookmarkStart w:id="0" w:name="_GoBack"/>
            <w:bookmarkEnd w:id="0"/>
          </w:p>
          <w:p w:rsidR="00F81E93" w:rsidRDefault="00F81E93" w:rsidP="00443F8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Stanovisko</w:t>
            </w:r>
            <w:r w:rsidR="00F223FC">
              <w:rPr>
                <w:b/>
              </w:rPr>
              <w:t xml:space="preserve"> príslušnej</w:t>
            </w:r>
            <w:r w:rsidRPr="00773956">
              <w:rPr>
                <w:b/>
              </w:rPr>
              <w:t xml:space="preserve"> komisie</w:t>
            </w:r>
          </w:p>
        </w:tc>
        <w:tc>
          <w:tcPr>
            <w:tcW w:w="4530" w:type="dxa"/>
          </w:tcPr>
          <w:p w:rsidR="00261686" w:rsidRDefault="0080225D" w:rsidP="001A6AAD">
            <w:r>
              <w:t>-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spracovateľa materiálu</w:t>
            </w:r>
          </w:p>
        </w:tc>
        <w:tc>
          <w:tcPr>
            <w:tcW w:w="4530" w:type="dxa"/>
          </w:tcPr>
          <w:p w:rsidR="00261686" w:rsidRDefault="0080225D" w:rsidP="001A6AAD">
            <w:r>
              <w:t>Mgr. Jaroslav Seman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predkladateľa materiálu</w:t>
            </w:r>
          </w:p>
        </w:tc>
        <w:tc>
          <w:tcPr>
            <w:tcW w:w="4530" w:type="dxa"/>
          </w:tcPr>
          <w:p w:rsidR="00261686" w:rsidRDefault="0080225D" w:rsidP="001A6AAD">
            <w:r>
              <w:t>Mgr. Jaroslav Seman</w:t>
            </w:r>
          </w:p>
        </w:tc>
      </w:tr>
    </w:tbl>
    <w:p w:rsidR="00DB348C" w:rsidRPr="002D4F45" w:rsidRDefault="00DB348C" w:rsidP="009D311C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sectPr w:rsidR="00DB348C" w:rsidRPr="002D4F45" w:rsidSect="00A90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C23" w:rsidRDefault="00ED1C23">
      <w:r>
        <w:separator/>
      </w:r>
    </w:p>
  </w:endnote>
  <w:endnote w:type="continuationSeparator" w:id="0">
    <w:p w:rsidR="00ED1C23" w:rsidRDefault="00ED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C23" w:rsidRDefault="00ED1C23">
      <w:r>
        <w:separator/>
      </w:r>
    </w:p>
  </w:footnote>
  <w:footnote w:type="continuationSeparator" w:id="0">
    <w:p w:rsidR="00ED1C23" w:rsidRDefault="00ED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A90AB4">
    <w:r w:rsidRPr="00D16B54">
      <w:rPr>
        <w:noProof/>
      </w:rPr>
      <w:drawing>
        <wp:inline distT="0" distB="0" distL="0" distR="0" wp14:anchorId="3DF9EE2B" wp14:editId="3832BA58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4834"/>
    <w:rsid w:val="00020CAB"/>
    <w:rsid w:val="000705EB"/>
    <w:rsid w:val="00081494"/>
    <w:rsid w:val="000B1DC8"/>
    <w:rsid w:val="00111A8D"/>
    <w:rsid w:val="001171AB"/>
    <w:rsid w:val="001941C9"/>
    <w:rsid w:val="001A3290"/>
    <w:rsid w:val="002230F1"/>
    <w:rsid w:val="002318CF"/>
    <w:rsid w:val="00237D0C"/>
    <w:rsid w:val="00261686"/>
    <w:rsid w:val="002A5067"/>
    <w:rsid w:val="002D4F45"/>
    <w:rsid w:val="002E04DA"/>
    <w:rsid w:val="003317B2"/>
    <w:rsid w:val="0036325E"/>
    <w:rsid w:val="00392A3A"/>
    <w:rsid w:val="00397912"/>
    <w:rsid w:val="003C6346"/>
    <w:rsid w:val="003D6849"/>
    <w:rsid w:val="003E357C"/>
    <w:rsid w:val="003F2DD1"/>
    <w:rsid w:val="004032AC"/>
    <w:rsid w:val="004075B0"/>
    <w:rsid w:val="00412ADC"/>
    <w:rsid w:val="00443F81"/>
    <w:rsid w:val="004477CA"/>
    <w:rsid w:val="004921EF"/>
    <w:rsid w:val="004C3DD8"/>
    <w:rsid w:val="004D5CD4"/>
    <w:rsid w:val="00521B3B"/>
    <w:rsid w:val="00587862"/>
    <w:rsid w:val="005A0A32"/>
    <w:rsid w:val="005D3B28"/>
    <w:rsid w:val="006D0F40"/>
    <w:rsid w:val="007147BF"/>
    <w:rsid w:val="00721B70"/>
    <w:rsid w:val="007322DC"/>
    <w:rsid w:val="00736AD9"/>
    <w:rsid w:val="007545B8"/>
    <w:rsid w:val="00767D7F"/>
    <w:rsid w:val="007B404C"/>
    <w:rsid w:val="007B4B23"/>
    <w:rsid w:val="007B52EF"/>
    <w:rsid w:val="007E5C9F"/>
    <w:rsid w:val="0080225D"/>
    <w:rsid w:val="00825354"/>
    <w:rsid w:val="00867465"/>
    <w:rsid w:val="00891831"/>
    <w:rsid w:val="008932EB"/>
    <w:rsid w:val="008A3177"/>
    <w:rsid w:val="008B13FC"/>
    <w:rsid w:val="008C4BEB"/>
    <w:rsid w:val="008E4B57"/>
    <w:rsid w:val="00975028"/>
    <w:rsid w:val="00986A18"/>
    <w:rsid w:val="009D311C"/>
    <w:rsid w:val="00A614D9"/>
    <w:rsid w:val="00A90AB4"/>
    <w:rsid w:val="00AC0114"/>
    <w:rsid w:val="00AD4BBB"/>
    <w:rsid w:val="00AF623C"/>
    <w:rsid w:val="00B52B80"/>
    <w:rsid w:val="00B5499E"/>
    <w:rsid w:val="00BE05D5"/>
    <w:rsid w:val="00BF30F2"/>
    <w:rsid w:val="00C06DEC"/>
    <w:rsid w:val="00CF235F"/>
    <w:rsid w:val="00D0184C"/>
    <w:rsid w:val="00D06C73"/>
    <w:rsid w:val="00D132CF"/>
    <w:rsid w:val="00DB348C"/>
    <w:rsid w:val="00E9325B"/>
    <w:rsid w:val="00EB2AA0"/>
    <w:rsid w:val="00EC31E4"/>
    <w:rsid w:val="00ED1C23"/>
    <w:rsid w:val="00F223FC"/>
    <w:rsid w:val="00F81E93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10FC5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AB69-0674-4F21-82CE-74B61BE0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38</cp:revision>
  <cp:lastPrinted>2012-09-28T06:45:00Z</cp:lastPrinted>
  <dcterms:created xsi:type="dcterms:W3CDTF">2019-01-01T19:20:00Z</dcterms:created>
  <dcterms:modified xsi:type="dcterms:W3CDTF">2019-06-21T11:03:00Z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